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9007" w14:textId="1B3484BF" w:rsidR="0072F87C" w:rsidRDefault="0072F87C" w:rsidP="1129CC33">
      <w:pPr>
        <w:spacing w:before="280"/>
        <w:rPr>
          <w:b/>
          <w:bCs/>
        </w:rPr>
      </w:pPr>
      <w:r w:rsidRPr="1129CC33">
        <w:rPr>
          <w:b/>
          <w:bCs/>
          <w:color w:val="000000" w:themeColor="text1"/>
        </w:rPr>
        <w:t>Hippocampal Volume and Sleep Problems in School-Aged Children at High and Low Familial Likelihood of Autism</w:t>
      </w:r>
      <w:r w:rsidRPr="1129CC33">
        <w:rPr>
          <w:b/>
          <w:bCs/>
        </w:rPr>
        <w:t xml:space="preserve"> </w:t>
      </w:r>
    </w:p>
    <w:p w14:paraId="33CEA935" w14:textId="77777777" w:rsidR="00AD1515" w:rsidRDefault="00AD1515" w:rsidP="00AD1515">
      <w:pPr>
        <w:spacing w:before="280"/>
        <w:rPr>
          <w:lang w:val="en-US"/>
        </w:rPr>
      </w:pPr>
      <w:r w:rsidRPr="1129CC33">
        <w:rPr>
          <w:lang w:val="en-US"/>
        </w:rPr>
        <w:t>Pari Mungalpara, B.S., Jeff Munson, Ph.D., Stephen Dager, M.D., Tanya St. John, Ph.D., Joseph Piven, M.D., Heather Hazlett, Ph.D., Robert Schultz, Ph.D., Natasha Marrus, M.D., Ph.D., Lonnie Zwaigenbaum, M.D., Alan Evans, Ph.D., Martin Styner, Ph.D., Kelly Botteron, M.D., Sun Hyung Kim. Ph.D., Robert McKinstry, M.D., Ph.D., D. Louis Collins, Ph.D., Juhi Pandey, Ph.D., Mark Shen, Ph.D., and Annette Estes, Ph.D. for the IBIS Network</w:t>
      </w:r>
    </w:p>
    <w:p w14:paraId="39157DAA" w14:textId="42C41417" w:rsidR="00346536" w:rsidRDefault="00346536" w:rsidP="1129CC33">
      <w:pPr>
        <w:spacing w:before="280"/>
        <w:rPr>
          <w:b/>
          <w:bCs/>
        </w:rPr>
      </w:pPr>
      <w:r w:rsidRPr="1129CC33">
        <w:rPr>
          <w:b/>
          <w:bCs/>
        </w:rPr>
        <w:t>Background</w:t>
      </w:r>
    </w:p>
    <w:p w14:paraId="2256880D" w14:textId="16C18168" w:rsidR="00184FF7" w:rsidRDefault="00346536">
      <w:pPr>
        <w:spacing w:before="240" w:after="240"/>
      </w:pPr>
      <w:r>
        <w:t xml:space="preserve">Healthy sleep during childhood is vital to </w:t>
      </w:r>
      <w:r w:rsidR="00082B50">
        <w:t xml:space="preserve">health, cognition, and </w:t>
      </w:r>
      <w:r>
        <w:t>brain development</w:t>
      </w:r>
      <w:r w:rsidR="00082B50">
        <w:t>. S</w:t>
      </w:r>
      <w:r w:rsidR="005B43B8">
        <w:t>ome of the same subcortical regions associated with altered brain development in autistic children are also associated with sleep problems. T</w:t>
      </w:r>
      <w:r>
        <w:t xml:space="preserve">he Infant Brain Imaging Study (IBIS) has previously reported that sleep problems are associated with </w:t>
      </w:r>
      <w:r w:rsidR="00C13F0B">
        <w:t xml:space="preserve">enlarged </w:t>
      </w:r>
      <w:r>
        <w:t xml:space="preserve">hippocampal </w:t>
      </w:r>
      <w:r w:rsidR="008A64D8">
        <w:t xml:space="preserve">volumes </w:t>
      </w:r>
      <w:r>
        <w:t xml:space="preserve">in infant siblings later </w:t>
      </w:r>
      <w:r w:rsidR="00CE1B9C">
        <w:t xml:space="preserve">diagnosed with </w:t>
      </w:r>
      <w:r>
        <w:t>autism.</w:t>
      </w:r>
      <w:r w:rsidR="005B43B8" w:rsidRPr="005B43B8">
        <w:t xml:space="preserve"> </w:t>
      </w:r>
      <w:r>
        <w:t xml:space="preserve">However, the </w:t>
      </w:r>
      <w:r w:rsidR="008A64D8">
        <w:t xml:space="preserve">persistence of this </w:t>
      </w:r>
      <w:r>
        <w:t xml:space="preserve">relationship between sleep problems and </w:t>
      </w:r>
      <w:r w:rsidR="008A64D8">
        <w:t>hippocampal</w:t>
      </w:r>
      <w:r>
        <w:t xml:space="preserve"> alterations in autistic school-age children is not well understood, even though clinically significant sleep problems affect over 80% of this population.</w:t>
      </w:r>
    </w:p>
    <w:p w14:paraId="6CAE1A2F" w14:textId="77777777" w:rsidR="00184FF7" w:rsidRDefault="00346536" w:rsidP="1129CC33">
      <w:pPr>
        <w:spacing w:before="280"/>
        <w:rPr>
          <w:b/>
          <w:bCs/>
        </w:rPr>
      </w:pPr>
      <w:r w:rsidRPr="1129CC33">
        <w:rPr>
          <w:b/>
          <w:bCs/>
        </w:rPr>
        <w:t>Objectives</w:t>
      </w:r>
    </w:p>
    <w:p w14:paraId="6E2F7781" w14:textId="26AFE9DF" w:rsidR="00184FF7" w:rsidRDefault="00346536">
      <w:pPr>
        <w:spacing w:before="240" w:after="240"/>
      </w:pPr>
      <w:r w:rsidRPr="1129CC33">
        <w:rPr>
          <w:lang w:val="en-US"/>
        </w:rPr>
        <w:t>To examine the relationship between hippocampal volume and sleep characteristics in school-aged children (7.0-11.11 years) at higher familial likelihood of A</w:t>
      </w:r>
      <w:r w:rsidR="008E2870">
        <w:rPr>
          <w:lang w:val="en-US"/>
        </w:rPr>
        <w:t xml:space="preserve">utism </w:t>
      </w:r>
      <w:r w:rsidRPr="1129CC33">
        <w:rPr>
          <w:lang w:val="en-US"/>
        </w:rPr>
        <w:t>S</w:t>
      </w:r>
      <w:r w:rsidR="008E2870">
        <w:rPr>
          <w:lang w:val="en-US"/>
        </w:rPr>
        <w:t xml:space="preserve">pectrum </w:t>
      </w:r>
      <w:r w:rsidRPr="1129CC33">
        <w:rPr>
          <w:lang w:val="en-US"/>
        </w:rPr>
        <w:t>D</w:t>
      </w:r>
      <w:r w:rsidR="008E2870">
        <w:rPr>
          <w:lang w:val="en-US"/>
        </w:rPr>
        <w:t>isorder (ASD)</w:t>
      </w:r>
      <w:r w:rsidRPr="1129CC33">
        <w:rPr>
          <w:lang w:val="en-US"/>
        </w:rPr>
        <w:t xml:space="preserve"> with an autism diagnosis (HL-ASD), no diagnosis (HL-</w:t>
      </w:r>
      <w:proofErr w:type="spellStart"/>
      <w:r w:rsidRPr="1129CC33">
        <w:rPr>
          <w:lang w:val="en-US"/>
        </w:rPr>
        <w:t>noASD</w:t>
      </w:r>
      <w:proofErr w:type="spellEnd"/>
      <w:r w:rsidRPr="1129CC33">
        <w:rPr>
          <w:lang w:val="en-US"/>
        </w:rPr>
        <w:t>), and lower familial likelihood of autism (LL).</w:t>
      </w:r>
    </w:p>
    <w:p w14:paraId="2E088893" w14:textId="77777777" w:rsidR="00184FF7" w:rsidRDefault="00346536" w:rsidP="1129CC33">
      <w:pPr>
        <w:spacing w:before="280"/>
        <w:rPr>
          <w:b/>
          <w:bCs/>
        </w:rPr>
      </w:pPr>
      <w:r w:rsidRPr="1129CC33">
        <w:rPr>
          <w:b/>
          <w:bCs/>
        </w:rPr>
        <w:t>Methods</w:t>
      </w:r>
    </w:p>
    <w:p w14:paraId="186C3ADC" w14:textId="2F869B49" w:rsidR="00184FF7" w:rsidRDefault="00346536">
      <w:pPr>
        <w:spacing w:before="240" w:after="240"/>
      </w:pPr>
      <w:r w:rsidRPr="1129CC33">
        <w:rPr>
          <w:lang w:val="en-US"/>
        </w:rPr>
        <w:t>Hippocampal volume</w:t>
      </w:r>
      <w:r w:rsidR="008A64D8" w:rsidRPr="1129CC33">
        <w:rPr>
          <w:lang w:val="en-US"/>
        </w:rPr>
        <w:t>s were</w:t>
      </w:r>
      <w:r w:rsidRPr="1129CC33">
        <w:rPr>
          <w:lang w:val="en-US"/>
        </w:rPr>
        <w:t xml:space="preserve"> measured </w:t>
      </w:r>
      <w:r w:rsidR="008A64D8" w:rsidRPr="1129CC33">
        <w:rPr>
          <w:lang w:val="en-US"/>
        </w:rPr>
        <w:t>from</w:t>
      </w:r>
      <w:r w:rsidRPr="1129CC33">
        <w:rPr>
          <w:lang w:val="en-US"/>
        </w:rPr>
        <w:t xml:space="preserve"> awake MRI </w:t>
      </w:r>
      <w:r w:rsidR="008A64D8" w:rsidRPr="1129CC33">
        <w:rPr>
          <w:lang w:val="en-US"/>
        </w:rPr>
        <w:t xml:space="preserve">T1 and T2 images </w:t>
      </w:r>
      <w:r w:rsidRPr="1129CC33">
        <w:rPr>
          <w:lang w:val="en-US"/>
        </w:rPr>
        <w:t>(Siemens</w:t>
      </w:r>
      <w:r w:rsidR="008A64D8" w:rsidRPr="1129CC33">
        <w:rPr>
          <w:lang w:val="en-US"/>
        </w:rPr>
        <w:t xml:space="preserve"> 3 Tesla</w:t>
      </w:r>
      <w:r w:rsidRPr="1129CC33">
        <w:rPr>
          <w:lang w:val="en-US"/>
        </w:rPr>
        <w:t xml:space="preserve"> Prisma) across 4 sites (University of North Carolina, Washington University, Children’s Hospital of Philadelphia, University of Washington) utilizing </w:t>
      </w:r>
      <w:r w:rsidR="00082B50" w:rsidRPr="1129CC33">
        <w:rPr>
          <w:lang w:val="en-US"/>
        </w:rPr>
        <w:t xml:space="preserve">all available </w:t>
      </w:r>
      <w:r w:rsidRPr="1129CC33">
        <w:rPr>
          <w:lang w:val="en-US"/>
        </w:rPr>
        <w:t xml:space="preserve">data that </w:t>
      </w:r>
      <w:r w:rsidR="00082B50" w:rsidRPr="1129CC33">
        <w:rPr>
          <w:lang w:val="en-US"/>
        </w:rPr>
        <w:t xml:space="preserve">has </w:t>
      </w:r>
      <w:r w:rsidRPr="1129CC33">
        <w:rPr>
          <w:lang w:val="en-US"/>
        </w:rPr>
        <w:t xml:space="preserve">passed QC to date. </w:t>
      </w:r>
      <w:r w:rsidR="003018FA">
        <w:rPr>
          <w:lang w:val="en-US"/>
        </w:rPr>
        <w:t xml:space="preserve">Left and Right Hippocampal volumes were highly correlated so total volume is reported here. </w:t>
      </w:r>
      <w:r w:rsidRPr="1129CC33">
        <w:rPr>
          <w:lang w:val="en-US"/>
        </w:rPr>
        <w:t xml:space="preserve">Sleep was measured with actimetry in the home for 10 days (Phillips </w:t>
      </w:r>
      <w:proofErr w:type="spellStart"/>
      <w:r w:rsidRPr="1129CC33">
        <w:rPr>
          <w:lang w:val="en-US"/>
        </w:rPr>
        <w:t>Actiwatch</w:t>
      </w:r>
      <w:proofErr w:type="spellEnd"/>
      <w:r w:rsidR="00B866A7">
        <w:rPr>
          <w:lang w:val="en-US"/>
        </w:rPr>
        <w:t xml:space="preserve"> and</w:t>
      </w:r>
      <w:r w:rsidRPr="1129CC33">
        <w:rPr>
          <w:lang w:val="en-US"/>
        </w:rPr>
        <w:t xml:space="preserve"> sleep diaries). </w:t>
      </w:r>
      <w:r w:rsidR="005B43B8" w:rsidRPr="1129CC33">
        <w:rPr>
          <w:lang w:val="en-US"/>
        </w:rPr>
        <w:t>C</w:t>
      </w:r>
      <w:r w:rsidRPr="1129CC33">
        <w:rPr>
          <w:lang w:val="en-US"/>
        </w:rPr>
        <w:t xml:space="preserve">hildren with actimetry within 6 months of MRI </w:t>
      </w:r>
      <w:r w:rsidR="005B43B8" w:rsidRPr="1129CC33">
        <w:rPr>
          <w:lang w:val="en-US"/>
        </w:rPr>
        <w:t>were included</w:t>
      </w:r>
      <w:bookmarkStart w:id="0" w:name="_GoBack"/>
      <w:bookmarkEnd w:id="0"/>
      <w:r w:rsidR="005B43B8" w:rsidRPr="1129CC33">
        <w:rPr>
          <w:lang w:val="en-US"/>
        </w:rPr>
        <w:t xml:space="preserve"> </w:t>
      </w:r>
      <w:r w:rsidRPr="1129CC33">
        <w:rPr>
          <w:lang w:val="en-US"/>
        </w:rPr>
        <w:t>(HL-ASD n=11; HL-</w:t>
      </w:r>
      <w:proofErr w:type="spellStart"/>
      <w:r w:rsidRPr="1129CC33">
        <w:rPr>
          <w:lang w:val="en-US"/>
        </w:rPr>
        <w:t>noASD</w:t>
      </w:r>
      <w:proofErr w:type="spellEnd"/>
      <w:r w:rsidRPr="1129CC33">
        <w:rPr>
          <w:lang w:val="en-US"/>
        </w:rPr>
        <w:t xml:space="preserve"> n=37; LL n=35). Sleep variables included average sleep duration</w:t>
      </w:r>
      <w:r w:rsidR="008E2870">
        <w:rPr>
          <w:lang w:val="en-US"/>
        </w:rPr>
        <w:t xml:space="preserve"> (minutes)</w:t>
      </w:r>
      <w:r w:rsidRPr="1129CC33">
        <w:rPr>
          <w:lang w:val="en-US"/>
        </w:rPr>
        <w:t>, sleep duration variability</w:t>
      </w:r>
      <w:r w:rsidR="008E2870">
        <w:rPr>
          <w:lang w:val="en-US"/>
        </w:rPr>
        <w:t xml:space="preserve"> </w:t>
      </w:r>
      <w:r w:rsidR="00B866A7">
        <w:rPr>
          <w:lang w:val="en-US"/>
        </w:rPr>
        <w:t>(</w:t>
      </w:r>
      <w:r w:rsidR="008E2870">
        <w:rPr>
          <w:lang w:val="en-US"/>
        </w:rPr>
        <w:t>intra-individual standard deviation of sleep duration)</w:t>
      </w:r>
      <w:r w:rsidRPr="1129CC33">
        <w:rPr>
          <w:lang w:val="en-US"/>
        </w:rPr>
        <w:t>, average sleep efficiency</w:t>
      </w:r>
      <w:r w:rsidR="008E2870">
        <w:rPr>
          <w:lang w:val="en-US"/>
        </w:rPr>
        <w:t xml:space="preserve"> (p</w:t>
      </w:r>
      <w:r w:rsidR="00B866A7">
        <w:rPr>
          <w:lang w:val="en-US"/>
        </w:rPr>
        <w:t>roportion</w:t>
      </w:r>
      <w:r w:rsidR="008E2870">
        <w:rPr>
          <w:lang w:val="en-US"/>
        </w:rPr>
        <w:t xml:space="preserve">; total </w:t>
      </w:r>
      <w:r w:rsidR="00B866A7">
        <w:rPr>
          <w:lang w:val="en-US"/>
        </w:rPr>
        <w:t xml:space="preserve">time </w:t>
      </w:r>
      <w:r w:rsidR="008E2870">
        <w:rPr>
          <w:lang w:val="en-US"/>
        </w:rPr>
        <w:t>spent sleeping/total time spent in bed)</w:t>
      </w:r>
      <w:r w:rsidRPr="1129CC33">
        <w:rPr>
          <w:lang w:val="en-US"/>
        </w:rPr>
        <w:t>, and sleep efficiency variability</w:t>
      </w:r>
      <w:r w:rsidR="008E2870" w:rsidRPr="008E2870">
        <w:rPr>
          <w:lang w:val="en-US"/>
        </w:rPr>
        <w:t xml:space="preserve"> </w:t>
      </w:r>
      <w:r w:rsidR="008E2870">
        <w:rPr>
          <w:lang w:val="en-US"/>
        </w:rPr>
        <w:t>(</w:t>
      </w:r>
      <w:r w:rsidR="008E2870">
        <w:rPr>
          <w:lang w:val="en-US"/>
        </w:rPr>
        <w:t xml:space="preserve">intra-individual standard deviation of sleep </w:t>
      </w:r>
      <w:r w:rsidR="008E2870">
        <w:rPr>
          <w:lang w:val="en-US"/>
        </w:rPr>
        <w:t>efficiency)</w:t>
      </w:r>
      <w:r w:rsidRPr="1129CC33">
        <w:rPr>
          <w:lang w:val="en-US"/>
        </w:rPr>
        <w:t xml:space="preserve">.  </w:t>
      </w:r>
    </w:p>
    <w:p w14:paraId="0B1ABA08" w14:textId="77777777" w:rsidR="00184FF7" w:rsidRDefault="00346536" w:rsidP="1129CC33">
      <w:pPr>
        <w:spacing w:before="280"/>
        <w:rPr>
          <w:b/>
          <w:bCs/>
        </w:rPr>
      </w:pPr>
      <w:r w:rsidRPr="1129CC33">
        <w:rPr>
          <w:b/>
          <w:bCs/>
        </w:rPr>
        <w:t>Results</w:t>
      </w:r>
    </w:p>
    <w:p w14:paraId="1B5F698C" w14:textId="69F7094D" w:rsidR="00184FF7" w:rsidRDefault="00346536">
      <w:pPr>
        <w:spacing w:before="240" w:after="240"/>
      </w:pPr>
      <w:r w:rsidRPr="1129CC33">
        <w:rPr>
          <w:lang w:val="en-US"/>
        </w:rPr>
        <w:t xml:space="preserve">Our </w:t>
      </w:r>
      <w:r w:rsidR="008A64D8" w:rsidRPr="1129CC33">
        <w:rPr>
          <w:lang w:val="en-US"/>
        </w:rPr>
        <w:t>find</w:t>
      </w:r>
      <w:r w:rsidR="00B866A7">
        <w:rPr>
          <w:lang w:val="en-US"/>
        </w:rPr>
        <w:t>ings</w:t>
      </w:r>
      <w:r w:rsidRPr="1129CC33">
        <w:rPr>
          <w:lang w:val="en-US"/>
        </w:rPr>
        <w:t xml:space="preserve"> revealed a significant relationship between </w:t>
      </w:r>
      <w:r w:rsidR="008A64D8" w:rsidRPr="1129CC33">
        <w:rPr>
          <w:lang w:val="en-US"/>
        </w:rPr>
        <w:t xml:space="preserve">enlarged </w:t>
      </w:r>
      <w:r w:rsidRPr="1129CC33">
        <w:rPr>
          <w:lang w:val="en-US"/>
        </w:rPr>
        <w:t>hippocamp</w:t>
      </w:r>
      <w:r w:rsidR="008A64D8" w:rsidRPr="1129CC33">
        <w:rPr>
          <w:lang w:val="en-US"/>
        </w:rPr>
        <w:t>i</w:t>
      </w:r>
      <w:r w:rsidRPr="1129CC33">
        <w:rPr>
          <w:lang w:val="en-US"/>
        </w:rPr>
        <w:t xml:space="preserve"> and sleep duration variability in</w:t>
      </w:r>
      <w:r w:rsidR="008A64D8" w:rsidRPr="1129CC33">
        <w:rPr>
          <w:lang w:val="en-US"/>
        </w:rPr>
        <w:t xml:space="preserve"> both</w:t>
      </w:r>
      <w:r w:rsidRPr="1129CC33">
        <w:rPr>
          <w:lang w:val="en-US"/>
        </w:rPr>
        <w:t xml:space="preserve"> HL-ASD and HL-</w:t>
      </w:r>
      <w:proofErr w:type="spellStart"/>
      <w:r w:rsidRPr="1129CC33">
        <w:rPr>
          <w:lang w:val="en-US"/>
        </w:rPr>
        <w:t>noASD</w:t>
      </w:r>
      <w:proofErr w:type="spellEnd"/>
      <w:r w:rsidRPr="1129CC33">
        <w:rPr>
          <w:lang w:val="en-US"/>
        </w:rPr>
        <w:t xml:space="preserve">, correcting for total </w:t>
      </w:r>
      <w:r w:rsidR="008A64D8" w:rsidRPr="1129CC33">
        <w:rPr>
          <w:lang w:val="en-US"/>
        </w:rPr>
        <w:t xml:space="preserve">brain </w:t>
      </w:r>
      <w:r w:rsidRPr="1129CC33">
        <w:rPr>
          <w:lang w:val="en-US"/>
        </w:rPr>
        <w:t>tissue volume</w:t>
      </w:r>
      <w:r w:rsidR="005B43B8" w:rsidRPr="1129CC33">
        <w:rPr>
          <w:lang w:val="en-US"/>
        </w:rPr>
        <w:t xml:space="preserve"> (see Table 1)</w:t>
      </w:r>
      <w:r w:rsidRPr="1129CC33">
        <w:rPr>
          <w:lang w:val="en-US"/>
        </w:rPr>
        <w:t xml:space="preserve">. No significant association between hippocampal volume </w:t>
      </w:r>
      <w:r w:rsidR="00DD038F" w:rsidRPr="1129CC33">
        <w:rPr>
          <w:lang w:val="en-US"/>
        </w:rPr>
        <w:t>and average</w:t>
      </w:r>
      <w:r w:rsidRPr="1129CC33">
        <w:rPr>
          <w:lang w:val="en-US"/>
        </w:rPr>
        <w:t xml:space="preserve"> sleep time, </w:t>
      </w:r>
      <w:r w:rsidRPr="1129CC33">
        <w:rPr>
          <w:lang w:val="en-US"/>
        </w:rPr>
        <w:lastRenderedPageBreak/>
        <w:t xml:space="preserve">average sleep efficiency, or sleep efficiency variability was observed. Future analyses will evaluate other subcortical structures to determine whether this relationship is </w:t>
      </w:r>
      <w:r w:rsidR="008A64D8" w:rsidRPr="1129CC33">
        <w:rPr>
          <w:lang w:val="en-US"/>
        </w:rPr>
        <w:t xml:space="preserve">specific </w:t>
      </w:r>
      <w:r w:rsidRPr="1129CC33">
        <w:rPr>
          <w:lang w:val="en-US"/>
        </w:rPr>
        <w:t>to the hippocamp</w:t>
      </w:r>
      <w:r w:rsidR="008A64D8" w:rsidRPr="1129CC33">
        <w:rPr>
          <w:lang w:val="en-US"/>
        </w:rPr>
        <w:t xml:space="preserve">us </w:t>
      </w:r>
      <w:r w:rsidR="005B43B8" w:rsidRPr="1129CC33">
        <w:rPr>
          <w:lang w:val="en-US"/>
        </w:rPr>
        <w:t xml:space="preserve">and will include </w:t>
      </w:r>
      <w:r w:rsidR="008A64D8" w:rsidRPr="1129CC33">
        <w:rPr>
          <w:lang w:val="en-US"/>
        </w:rPr>
        <w:t>additional</w:t>
      </w:r>
      <w:r w:rsidR="005B43B8" w:rsidRPr="1129CC33">
        <w:rPr>
          <w:lang w:val="en-US"/>
        </w:rPr>
        <w:t xml:space="preserve"> children as scans</w:t>
      </w:r>
      <w:r w:rsidR="008A64D8" w:rsidRPr="1129CC33">
        <w:rPr>
          <w:lang w:val="en-US"/>
        </w:rPr>
        <w:t xml:space="preserve"> that</w:t>
      </w:r>
      <w:r w:rsidR="005B43B8" w:rsidRPr="1129CC33">
        <w:rPr>
          <w:lang w:val="en-US"/>
        </w:rPr>
        <w:t xml:space="preserve"> pass QC</w:t>
      </w:r>
      <w:r w:rsidR="008A64D8" w:rsidRPr="1129CC33">
        <w:rPr>
          <w:lang w:val="en-US"/>
        </w:rPr>
        <w:t xml:space="preserve"> become available</w:t>
      </w:r>
      <w:r w:rsidRPr="1129CC33">
        <w:rPr>
          <w:lang w:val="en-US"/>
        </w:rPr>
        <w:t>.</w:t>
      </w:r>
    </w:p>
    <w:p w14:paraId="3660F2E1" w14:textId="77777777" w:rsidR="00184FF7" w:rsidRDefault="00346536" w:rsidP="1129CC33">
      <w:pPr>
        <w:spacing w:before="280"/>
        <w:rPr>
          <w:b/>
          <w:bCs/>
        </w:rPr>
      </w:pPr>
      <w:r w:rsidRPr="1129CC33">
        <w:rPr>
          <w:b/>
          <w:bCs/>
        </w:rPr>
        <w:t>Conclusions</w:t>
      </w:r>
    </w:p>
    <w:p w14:paraId="7F75FAB1" w14:textId="3D4066C6" w:rsidR="00184FF7" w:rsidRDefault="005B43B8" w:rsidP="1129CC33">
      <w:pPr>
        <w:spacing w:before="240" w:after="240"/>
        <w:rPr>
          <w:lang w:val="en-US"/>
        </w:rPr>
      </w:pPr>
      <w:r w:rsidRPr="1129CC33">
        <w:rPr>
          <w:lang w:val="en-US"/>
        </w:rPr>
        <w:t>G</w:t>
      </w:r>
      <w:r w:rsidR="00346536" w:rsidRPr="1129CC33">
        <w:rPr>
          <w:lang w:val="en-US"/>
        </w:rPr>
        <w:t xml:space="preserve">reater sleep duration variability is associated with larger </w:t>
      </w:r>
      <w:r w:rsidR="008A64D8" w:rsidRPr="1129CC33">
        <w:rPr>
          <w:lang w:val="en-US"/>
        </w:rPr>
        <w:t xml:space="preserve">bilateral </w:t>
      </w:r>
      <w:r w:rsidR="00346536" w:rsidRPr="1129CC33">
        <w:rPr>
          <w:lang w:val="en-US"/>
        </w:rPr>
        <w:t xml:space="preserve">hippocampal volume, controlling for total </w:t>
      </w:r>
      <w:r w:rsidR="008A64D8" w:rsidRPr="1129CC33">
        <w:rPr>
          <w:lang w:val="en-US"/>
        </w:rPr>
        <w:t xml:space="preserve">brain </w:t>
      </w:r>
      <w:r w:rsidR="00346536" w:rsidRPr="1129CC33">
        <w:rPr>
          <w:lang w:val="en-US"/>
        </w:rPr>
        <w:t>tissue volume</w:t>
      </w:r>
      <w:r w:rsidRPr="1129CC33">
        <w:rPr>
          <w:lang w:val="en-US"/>
        </w:rPr>
        <w:t>,</w:t>
      </w:r>
      <w:r w:rsidR="00346536" w:rsidRPr="1129CC33">
        <w:rPr>
          <w:lang w:val="en-US"/>
        </w:rPr>
        <w:t xml:space="preserve"> in children with high</w:t>
      </w:r>
      <w:r w:rsidR="00082B50" w:rsidRPr="1129CC33">
        <w:rPr>
          <w:lang w:val="en-US"/>
        </w:rPr>
        <w:t>er</w:t>
      </w:r>
      <w:r w:rsidR="00346536" w:rsidRPr="1129CC33">
        <w:rPr>
          <w:lang w:val="en-US"/>
        </w:rPr>
        <w:t xml:space="preserve"> familial likelihood of autism. Variability in sleep patterns can be an index of insomnia, found in high rates in autism. Investigating brain-sleep relationships has the potential to reveal </w:t>
      </w:r>
      <w:r w:rsidR="008A64D8" w:rsidRPr="1129CC33">
        <w:rPr>
          <w:lang w:val="en-US"/>
        </w:rPr>
        <w:t xml:space="preserve">developmental impacts of </w:t>
      </w:r>
      <w:r w:rsidR="00346536" w:rsidRPr="1129CC33">
        <w:rPr>
          <w:lang w:val="en-US"/>
        </w:rPr>
        <w:t>sleep problems in this vulnerable population.</w:t>
      </w:r>
    </w:p>
    <w:p w14:paraId="5DB0FD6C" w14:textId="77777777" w:rsidR="00DD038F" w:rsidRDefault="00DD038F" w:rsidP="00DD038F">
      <w:pPr>
        <w:rPr>
          <w:lang w:val="en-US"/>
        </w:rPr>
      </w:pPr>
    </w:p>
    <w:p w14:paraId="11057A13" w14:textId="77777777" w:rsidR="00C716C7" w:rsidRPr="003018FA" w:rsidRDefault="00DD038F" w:rsidP="00DD038F">
      <w:pPr>
        <w:rPr>
          <w:b/>
          <w:lang w:val="en-US"/>
        </w:rPr>
      </w:pPr>
      <w:r w:rsidRPr="003018FA">
        <w:rPr>
          <w:b/>
          <w:lang w:val="en-US"/>
        </w:rPr>
        <w:t>Table 1</w:t>
      </w:r>
    </w:p>
    <w:p w14:paraId="76AA3B94" w14:textId="6361806B" w:rsidR="00DD038F" w:rsidRPr="003018FA" w:rsidRDefault="00166971" w:rsidP="00DD038F">
      <w:pPr>
        <w:rPr>
          <w:b/>
        </w:rPr>
      </w:pPr>
      <w:r w:rsidRPr="003018FA">
        <w:rPr>
          <w:b/>
        </w:rPr>
        <w:t>Total Hippocampal Volume and Sleep Duration Variability</w:t>
      </w:r>
      <w:r w:rsidR="005B43B8" w:rsidRPr="003018FA">
        <w:rPr>
          <w:b/>
        </w:rPr>
        <w:t xml:space="preserve"> (</w:t>
      </w:r>
      <w:r w:rsidR="00082B50" w:rsidRPr="003018FA">
        <w:rPr>
          <w:b/>
        </w:rPr>
        <w:t>S</w:t>
      </w:r>
      <w:r w:rsidR="005B43B8" w:rsidRPr="003018FA">
        <w:rPr>
          <w:b/>
        </w:rPr>
        <w:t>DV)</w:t>
      </w:r>
      <w:r w:rsidRPr="003018FA">
        <w:rPr>
          <w:b/>
        </w:rPr>
        <w:t xml:space="preserve"> by Group </w:t>
      </w:r>
    </w:p>
    <w:tbl>
      <w:tblPr>
        <w:tblW w:w="0" w:type="auto"/>
        <w:shd w:val="clear" w:color="auto" w:fill="FFFFFF"/>
        <w:tblCellMar>
          <w:left w:w="0" w:type="dxa"/>
          <w:right w:w="0" w:type="dxa"/>
        </w:tblCellMar>
        <w:tblLook w:val="04A0" w:firstRow="1" w:lastRow="0" w:firstColumn="1" w:lastColumn="0" w:noHBand="0" w:noVBand="1"/>
      </w:tblPr>
      <w:tblGrid>
        <w:gridCol w:w="2637"/>
        <w:gridCol w:w="2273"/>
        <w:gridCol w:w="3364"/>
        <w:gridCol w:w="916"/>
      </w:tblGrid>
      <w:tr w:rsidR="00DD038F" w:rsidRPr="00DD038F" w14:paraId="01E39642" w14:textId="77777777" w:rsidTr="00166971">
        <w:trPr>
          <w:trHeight w:val="305"/>
        </w:trPr>
        <w:tc>
          <w:tcPr>
            <w:tcW w:w="2637" w:type="dxa"/>
            <w:tcBorders>
              <w:top w:val="double" w:sz="6" w:space="0" w:color="auto"/>
              <w:left w:val="nil"/>
              <w:bottom w:val="nil"/>
              <w:right w:val="nil"/>
            </w:tcBorders>
            <w:shd w:val="clear" w:color="auto" w:fill="FFFFFF"/>
            <w:tcMar>
              <w:top w:w="113" w:type="dxa"/>
              <w:left w:w="113" w:type="dxa"/>
              <w:bottom w:w="113" w:type="dxa"/>
              <w:right w:w="113" w:type="dxa"/>
            </w:tcMar>
            <w:vAlign w:val="center"/>
            <w:hideMark/>
          </w:tcPr>
          <w:p w14:paraId="7A70A57A" w14:textId="77777777" w:rsidR="00DD038F" w:rsidRPr="00DD038F" w:rsidRDefault="00DD038F" w:rsidP="00DD038F">
            <w:pPr>
              <w:rPr>
                <w:lang w:val="en-US"/>
              </w:rPr>
            </w:pPr>
            <w:r w:rsidRPr="00DD038F">
              <w:rPr>
                <w:b/>
                <w:bCs/>
                <w:lang w:val="en-US"/>
              </w:rPr>
              <w:t> </w:t>
            </w:r>
          </w:p>
        </w:tc>
        <w:tc>
          <w:tcPr>
            <w:tcW w:w="6553" w:type="dxa"/>
            <w:gridSpan w:val="3"/>
            <w:tcBorders>
              <w:top w:val="double" w:sz="6" w:space="0" w:color="auto"/>
              <w:left w:val="nil"/>
              <w:bottom w:val="nil"/>
              <w:right w:val="nil"/>
            </w:tcBorders>
            <w:shd w:val="clear" w:color="auto" w:fill="FFFFFF"/>
            <w:tcMar>
              <w:top w:w="113" w:type="dxa"/>
              <w:left w:w="113" w:type="dxa"/>
              <w:bottom w:w="113" w:type="dxa"/>
              <w:right w:w="113" w:type="dxa"/>
            </w:tcMar>
            <w:vAlign w:val="center"/>
            <w:hideMark/>
          </w:tcPr>
          <w:p w14:paraId="4E893C85" w14:textId="45DD3FB8" w:rsidR="00DD038F" w:rsidRPr="00DD038F" w:rsidRDefault="00C716C7" w:rsidP="00C716C7">
            <w:pPr>
              <w:ind w:left="720"/>
              <w:rPr>
                <w:lang w:val="en-US"/>
              </w:rPr>
            </w:pPr>
            <w:r>
              <w:rPr>
                <w:lang w:val="en-US"/>
              </w:rPr>
              <w:t>Total Hippocampal Volume</w:t>
            </w:r>
          </w:p>
        </w:tc>
      </w:tr>
      <w:tr w:rsidR="00166971" w:rsidRPr="00DD038F" w14:paraId="42A9CBDA" w14:textId="77777777" w:rsidTr="00166971">
        <w:trPr>
          <w:trHeight w:val="289"/>
        </w:trPr>
        <w:tc>
          <w:tcPr>
            <w:tcW w:w="2637" w:type="dxa"/>
            <w:tcBorders>
              <w:top w:val="nil"/>
              <w:left w:val="nil"/>
              <w:bottom w:val="single" w:sz="8" w:space="0" w:color="auto"/>
              <w:right w:val="nil"/>
            </w:tcBorders>
            <w:shd w:val="clear" w:color="auto" w:fill="FFFFFF"/>
            <w:tcMar>
              <w:top w:w="15" w:type="dxa"/>
              <w:left w:w="15" w:type="dxa"/>
              <w:bottom w:w="15" w:type="dxa"/>
              <w:right w:w="15" w:type="dxa"/>
            </w:tcMar>
            <w:vAlign w:val="center"/>
            <w:hideMark/>
          </w:tcPr>
          <w:p w14:paraId="13081096" w14:textId="77777777" w:rsidR="00DD038F" w:rsidRPr="00DD038F" w:rsidRDefault="00DD038F" w:rsidP="00DD038F">
            <w:pPr>
              <w:rPr>
                <w:lang w:val="en-US"/>
              </w:rPr>
            </w:pPr>
            <w:r w:rsidRPr="00DD038F">
              <w:rPr>
                <w:i/>
                <w:iCs/>
                <w:lang w:val="en-US"/>
              </w:rPr>
              <w:t>Predictors</w:t>
            </w:r>
          </w:p>
        </w:tc>
        <w:tc>
          <w:tcPr>
            <w:tcW w:w="2273" w:type="dxa"/>
            <w:tcBorders>
              <w:top w:val="nil"/>
              <w:left w:val="nil"/>
              <w:bottom w:val="single" w:sz="8" w:space="0" w:color="auto"/>
              <w:right w:val="nil"/>
            </w:tcBorders>
            <w:shd w:val="clear" w:color="auto" w:fill="FFFFFF"/>
            <w:tcMar>
              <w:top w:w="15" w:type="dxa"/>
              <w:left w:w="15" w:type="dxa"/>
              <w:bottom w:w="15" w:type="dxa"/>
              <w:right w:w="15" w:type="dxa"/>
            </w:tcMar>
            <w:vAlign w:val="center"/>
            <w:hideMark/>
          </w:tcPr>
          <w:p w14:paraId="3770FD39" w14:textId="77777777" w:rsidR="00DD038F" w:rsidRPr="00DD038F" w:rsidRDefault="00DD038F" w:rsidP="00DD038F">
            <w:pPr>
              <w:rPr>
                <w:lang w:val="en-US"/>
              </w:rPr>
            </w:pPr>
            <w:r w:rsidRPr="00DD038F">
              <w:rPr>
                <w:i/>
                <w:iCs/>
                <w:lang w:val="en-US"/>
              </w:rPr>
              <w:t>Estimates</w:t>
            </w:r>
          </w:p>
        </w:tc>
        <w:tc>
          <w:tcPr>
            <w:tcW w:w="3364" w:type="dxa"/>
            <w:tcBorders>
              <w:top w:val="nil"/>
              <w:left w:val="nil"/>
              <w:bottom w:val="single" w:sz="8" w:space="0" w:color="auto"/>
              <w:right w:val="nil"/>
            </w:tcBorders>
            <w:shd w:val="clear" w:color="auto" w:fill="FFFFFF"/>
            <w:tcMar>
              <w:top w:w="15" w:type="dxa"/>
              <w:left w:w="15" w:type="dxa"/>
              <w:bottom w:w="15" w:type="dxa"/>
              <w:right w:w="15" w:type="dxa"/>
            </w:tcMar>
            <w:vAlign w:val="center"/>
            <w:hideMark/>
          </w:tcPr>
          <w:p w14:paraId="04AF3D11" w14:textId="77777777" w:rsidR="00DD038F" w:rsidRPr="00DD038F" w:rsidRDefault="00DD038F" w:rsidP="00DD038F">
            <w:pPr>
              <w:rPr>
                <w:lang w:val="en-US"/>
              </w:rPr>
            </w:pPr>
            <w:r w:rsidRPr="00DD038F">
              <w:rPr>
                <w:i/>
                <w:iCs/>
                <w:lang w:val="en-US"/>
              </w:rPr>
              <w:t>CI</w:t>
            </w:r>
          </w:p>
        </w:tc>
        <w:tc>
          <w:tcPr>
            <w:tcW w:w="915" w:type="dxa"/>
            <w:tcBorders>
              <w:top w:val="nil"/>
              <w:left w:val="nil"/>
              <w:bottom w:val="single" w:sz="8" w:space="0" w:color="auto"/>
              <w:right w:val="nil"/>
            </w:tcBorders>
            <w:shd w:val="clear" w:color="auto" w:fill="FFFFFF"/>
            <w:tcMar>
              <w:top w:w="15" w:type="dxa"/>
              <w:left w:w="15" w:type="dxa"/>
              <w:bottom w:w="15" w:type="dxa"/>
              <w:right w:w="15" w:type="dxa"/>
            </w:tcMar>
            <w:vAlign w:val="center"/>
            <w:hideMark/>
          </w:tcPr>
          <w:p w14:paraId="51C661FB" w14:textId="77777777" w:rsidR="00DD038F" w:rsidRPr="00DD038F" w:rsidRDefault="00DD038F" w:rsidP="00DD038F">
            <w:pPr>
              <w:rPr>
                <w:lang w:val="en-US"/>
              </w:rPr>
            </w:pPr>
            <w:r w:rsidRPr="00DD038F">
              <w:rPr>
                <w:i/>
                <w:iCs/>
                <w:lang w:val="en-US"/>
              </w:rPr>
              <w:t>p</w:t>
            </w:r>
          </w:p>
        </w:tc>
      </w:tr>
      <w:tr w:rsidR="00166971" w:rsidRPr="00DD038F" w14:paraId="05C722E3" w14:textId="77777777" w:rsidTr="00166971">
        <w:trPr>
          <w:trHeight w:val="289"/>
        </w:trPr>
        <w:tc>
          <w:tcPr>
            <w:tcW w:w="2637" w:type="dxa"/>
            <w:shd w:val="clear" w:color="auto" w:fill="FFFFFF"/>
            <w:tcMar>
              <w:top w:w="113" w:type="dxa"/>
              <w:left w:w="113" w:type="dxa"/>
              <w:bottom w:w="113" w:type="dxa"/>
              <w:right w:w="113" w:type="dxa"/>
            </w:tcMar>
            <w:hideMark/>
          </w:tcPr>
          <w:p w14:paraId="06FE32BB" w14:textId="77777777" w:rsidR="00DD038F" w:rsidRPr="00DD038F" w:rsidRDefault="00DD038F" w:rsidP="00DD038F">
            <w:pPr>
              <w:rPr>
                <w:lang w:val="en-US"/>
              </w:rPr>
            </w:pPr>
            <w:r w:rsidRPr="00DD038F">
              <w:rPr>
                <w:lang w:val="en-US"/>
              </w:rPr>
              <w:t>(Intercept)</w:t>
            </w:r>
          </w:p>
        </w:tc>
        <w:tc>
          <w:tcPr>
            <w:tcW w:w="2273" w:type="dxa"/>
            <w:shd w:val="clear" w:color="auto" w:fill="FFFFFF"/>
            <w:tcMar>
              <w:top w:w="113" w:type="dxa"/>
              <w:left w:w="113" w:type="dxa"/>
              <w:bottom w:w="113" w:type="dxa"/>
              <w:right w:w="113" w:type="dxa"/>
            </w:tcMar>
            <w:hideMark/>
          </w:tcPr>
          <w:p w14:paraId="60ECDCD0" w14:textId="77777777" w:rsidR="00DD038F" w:rsidRPr="00DD038F" w:rsidRDefault="00DD038F" w:rsidP="00DD038F">
            <w:pPr>
              <w:rPr>
                <w:lang w:val="en-US"/>
              </w:rPr>
            </w:pPr>
            <w:r w:rsidRPr="00DD038F">
              <w:rPr>
                <w:lang w:val="en-US"/>
              </w:rPr>
              <w:t>1938.07</w:t>
            </w:r>
          </w:p>
        </w:tc>
        <w:tc>
          <w:tcPr>
            <w:tcW w:w="3364" w:type="dxa"/>
            <w:shd w:val="clear" w:color="auto" w:fill="FFFFFF"/>
            <w:tcMar>
              <w:top w:w="113" w:type="dxa"/>
              <w:left w:w="113" w:type="dxa"/>
              <w:bottom w:w="113" w:type="dxa"/>
              <w:right w:w="113" w:type="dxa"/>
            </w:tcMar>
            <w:hideMark/>
          </w:tcPr>
          <w:p w14:paraId="79E01032" w14:textId="77777777" w:rsidR="00DD038F" w:rsidRPr="00DD038F" w:rsidRDefault="00DD038F" w:rsidP="00DD038F">
            <w:pPr>
              <w:rPr>
                <w:lang w:val="en-US"/>
              </w:rPr>
            </w:pPr>
            <w:r w:rsidRPr="00DD038F">
              <w:rPr>
                <w:lang w:val="en-US"/>
              </w:rPr>
              <w:t>350.70 – 3525.44</w:t>
            </w:r>
          </w:p>
        </w:tc>
        <w:tc>
          <w:tcPr>
            <w:tcW w:w="915" w:type="dxa"/>
            <w:shd w:val="clear" w:color="auto" w:fill="FFFFFF"/>
            <w:tcMar>
              <w:top w:w="113" w:type="dxa"/>
              <w:left w:w="113" w:type="dxa"/>
              <w:bottom w:w="113" w:type="dxa"/>
              <w:right w:w="113" w:type="dxa"/>
            </w:tcMar>
            <w:hideMark/>
          </w:tcPr>
          <w:p w14:paraId="23DA38F0" w14:textId="77777777" w:rsidR="00DD038F" w:rsidRPr="00DD038F" w:rsidRDefault="00DD038F" w:rsidP="00DD038F">
            <w:pPr>
              <w:rPr>
                <w:lang w:val="en-US"/>
              </w:rPr>
            </w:pPr>
            <w:r w:rsidRPr="00DD038F">
              <w:rPr>
                <w:b/>
                <w:bCs/>
                <w:lang w:val="en-US"/>
              </w:rPr>
              <w:t>0.017</w:t>
            </w:r>
          </w:p>
        </w:tc>
      </w:tr>
      <w:tr w:rsidR="00166971" w:rsidRPr="00DD038F" w14:paraId="71DEA627" w14:textId="77777777" w:rsidTr="00166971">
        <w:trPr>
          <w:trHeight w:val="305"/>
        </w:trPr>
        <w:tc>
          <w:tcPr>
            <w:tcW w:w="2637" w:type="dxa"/>
            <w:shd w:val="clear" w:color="auto" w:fill="FFFFFF"/>
            <w:tcMar>
              <w:top w:w="113" w:type="dxa"/>
              <w:left w:w="113" w:type="dxa"/>
              <w:bottom w:w="113" w:type="dxa"/>
              <w:right w:w="113" w:type="dxa"/>
            </w:tcMar>
            <w:hideMark/>
          </w:tcPr>
          <w:p w14:paraId="43920DD2" w14:textId="77777777" w:rsidR="00DD038F" w:rsidRPr="00DD038F" w:rsidRDefault="00DD038F" w:rsidP="00DD038F">
            <w:pPr>
              <w:rPr>
                <w:lang w:val="en-US"/>
              </w:rPr>
            </w:pPr>
            <w:r w:rsidRPr="00DD038F">
              <w:rPr>
                <w:lang w:val="en-US"/>
              </w:rPr>
              <w:t>total tissue vol 1k</w:t>
            </w:r>
          </w:p>
        </w:tc>
        <w:tc>
          <w:tcPr>
            <w:tcW w:w="2273" w:type="dxa"/>
            <w:shd w:val="clear" w:color="auto" w:fill="FFFFFF"/>
            <w:tcMar>
              <w:top w:w="113" w:type="dxa"/>
              <w:left w:w="113" w:type="dxa"/>
              <w:bottom w:w="113" w:type="dxa"/>
              <w:right w:w="113" w:type="dxa"/>
            </w:tcMar>
            <w:hideMark/>
          </w:tcPr>
          <w:p w14:paraId="55290356" w14:textId="77777777" w:rsidR="00DD038F" w:rsidRPr="00DD038F" w:rsidRDefault="00DD038F" w:rsidP="00DD038F">
            <w:pPr>
              <w:rPr>
                <w:lang w:val="en-US"/>
              </w:rPr>
            </w:pPr>
            <w:r w:rsidRPr="00DD038F">
              <w:rPr>
                <w:lang w:val="en-US"/>
              </w:rPr>
              <w:t>3.52</w:t>
            </w:r>
          </w:p>
        </w:tc>
        <w:tc>
          <w:tcPr>
            <w:tcW w:w="3364" w:type="dxa"/>
            <w:shd w:val="clear" w:color="auto" w:fill="FFFFFF"/>
            <w:tcMar>
              <w:top w:w="113" w:type="dxa"/>
              <w:left w:w="113" w:type="dxa"/>
              <w:bottom w:w="113" w:type="dxa"/>
              <w:right w:w="113" w:type="dxa"/>
            </w:tcMar>
            <w:hideMark/>
          </w:tcPr>
          <w:p w14:paraId="2171D01D" w14:textId="77777777" w:rsidR="00DD038F" w:rsidRPr="00DD038F" w:rsidRDefault="00DD038F" w:rsidP="00DD038F">
            <w:pPr>
              <w:rPr>
                <w:lang w:val="en-US"/>
              </w:rPr>
            </w:pPr>
            <w:r w:rsidRPr="00DD038F">
              <w:rPr>
                <w:lang w:val="en-US"/>
              </w:rPr>
              <w:t>2.33 – 4.71</w:t>
            </w:r>
          </w:p>
        </w:tc>
        <w:tc>
          <w:tcPr>
            <w:tcW w:w="915" w:type="dxa"/>
            <w:shd w:val="clear" w:color="auto" w:fill="FFFFFF"/>
            <w:tcMar>
              <w:top w:w="113" w:type="dxa"/>
              <w:left w:w="113" w:type="dxa"/>
              <w:bottom w:w="113" w:type="dxa"/>
              <w:right w:w="113" w:type="dxa"/>
            </w:tcMar>
            <w:hideMark/>
          </w:tcPr>
          <w:p w14:paraId="2649A228" w14:textId="77777777" w:rsidR="00DD038F" w:rsidRPr="00DD038F" w:rsidRDefault="00DD038F" w:rsidP="00DD038F">
            <w:pPr>
              <w:rPr>
                <w:lang w:val="en-US"/>
              </w:rPr>
            </w:pPr>
            <w:r w:rsidRPr="00DD038F">
              <w:rPr>
                <w:b/>
                <w:bCs/>
                <w:lang w:val="en-US"/>
              </w:rPr>
              <w:t>&lt;0.001</w:t>
            </w:r>
          </w:p>
        </w:tc>
      </w:tr>
      <w:tr w:rsidR="00166971" w:rsidRPr="00DD038F" w14:paraId="19469169" w14:textId="77777777" w:rsidTr="00166971">
        <w:trPr>
          <w:trHeight w:val="305"/>
        </w:trPr>
        <w:tc>
          <w:tcPr>
            <w:tcW w:w="2637" w:type="dxa"/>
            <w:shd w:val="clear" w:color="auto" w:fill="FFFFFF"/>
            <w:tcMar>
              <w:top w:w="113" w:type="dxa"/>
              <w:left w:w="113" w:type="dxa"/>
              <w:bottom w:w="113" w:type="dxa"/>
              <w:right w:w="113" w:type="dxa"/>
            </w:tcMar>
            <w:hideMark/>
          </w:tcPr>
          <w:p w14:paraId="05992D44" w14:textId="416F4D7F" w:rsidR="00DD038F" w:rsidRPr="00DD038F" w:rsidRDefault="00082B50" w:rsidP="00DD038F">
            <w:pPr>
              <w:rPr>
                <w:lang w:val="en-US"/>
              </w:rPr>
            </w:pPr>
            <w:r>
              <w:rPr>
                <w:lang w:val="en-US"/>
              </w:rPr>
              <w:t>S</w:t>
            </w:r>
            <w:r w:rsidR="005B43B8">
              <w:rPr>
                <w:lang w:val="en-US"/>
              </w:rPr>
              <w:t>DV</w:t>
            </w:r>
          </w:p>
        </w:tc>
        <w:tc>
          <w:tcPr>
            <w:tcW w:w="2273" w:type="dxa"/>
            <w:shd w:val="clear" w:color="auto" w:fill="FFFFFF"/>
            <w:tcMar>
              <w:top w:w="113" w:type="dxa"/>
              <w:left w:w="113" w:type="dxa"/>
              <w:bottom w:w="113" w:type="dxa"/>
              <w:right w:w="113" w:type="dxa"/>
            </w:tcMar>
            <w:hideMark/>
          </w:tcPr>
          <w:p w14:paraId="606A505C" w14:textId="77777777" w:rsidR="00DD038F" w:rsidRPr="00DD038F" w:rsidRDefault="00DD038F" w:rsidP="00DD038F">
            <w:pPr>
              <w:rPr>
                <w:lang w:val="en-US"/>
              </w:rPr>
            </w:pPr>
            <w:r w:rsidRPr="00DD038F">
              <w:rPr>
                <w:lang w:val="en-US"/>
              </w:rPr>
              <w:t>-3.15</w:t>
            </w:r>
          </w:p>
        </w:tc>
        <w:tc>
          <w:tcPr>
            <w:tcW w:w="3364" w:type="dxa"/>
            <w:shd w:val="clear" w:color="auto" w:fill="FFFFFF"/>
            <w:tcMar>
              <w:top w:w="113" w:type="dxa"/>
              <w:left w:w="113" w:type="dxa"/>
              <w:bottom w:w="113" w:type="dxa"/>
              <w:right w:w="113" w:type="dxa"/>
            </w:tcMar>
            <w:hideMark/>
          </w:tcPr>
          <w:p w14:paraId="6999BE46" w14:textId="77777777" w:rsidR="00DD038F" w:rsidRPr="00DD038F" w:rsidRDefault="00DD038F" w:rsidP="00DD038F">
            <w:pPr>
              <w:rPr>
                <w:lang w:val="en-US"/>
              </w:rPr>
            </w:pPr>
            <w:r w:rsidRPr="00DD038F">
              <w:rPr>
                <w:lang w:val="en-US"/>
              </w:rPr>
              <w:t>-12.76 – 6.45</w:t>
            </w:r>
          </w:p>
        </w:tc>
        <w:tc>
          <w:tcPr>
            <w:tcW w:w="915" w:type="dxa"/>
            <w:shd w:val="clear" w:color="auto" w:fill="FFFFFF"/>
            <w:tcMar>
              <w:top w:w="113" w:type="dxa"/>
              <w:left w:w="113" w:type="dxa"/>
              <w:bottom w:w="113" w:type="dxa"/>
              <w:right w:w="113" w:type="dxa"/>
            </w:tcMar>
            <w:hideMark/>
          </w:tcPr>
          <w:p w14:paraId="4A257000" w14:textId="77777777" w:rsidR="00DD038F" w:rsidRPr="00DD038F" w:rsidRDefault="00DD038F" w:rsidP="00DD038F">
            <w:pPr>
              <w:rPr>
                <w:lang w:val="en-US"/>
              </w:rPr>
            </w:pPr>
            <w:r w:rsidRPr="00DD038F">
              <w:rPr>
                <w:lang w:val="en-US"/>
              </w:rPr>
              <w:t>0.515</w:t>
            </w:r>
          </w:p>
        </w:tc>
      </w:tr>
      <w:tr w:rsidR="00166971" w:rsidRPr="00DD038F" w14:paraId="685DDA99" w14:textId="77777777" w:rsidTr="00166971">
        <w:trPr>
          <w:trHeight w:val="289"/>
        </w:trPr>
        <w:tc>
          <w:tcPr>
            <w:tcW w:w="2637" w:type="dxa"/>
            <w:shd w:val="clear" w:color="auto" w:fill="FFFFFF"/>
            <w:tcMar>
              <w:top w:w="113" w:type="dxa"/>
              <w:left w:w="113" w:type="dxa"/>
              <w:bottom w:w="113" w:type="dxa"/>
              <w:right w:w="113" w:type="dxa"/>
            </w:tcMar>
            <w:hideMark/>
          </w:tcPr>
          <w:p w14:paraId="434521B7" w14:textId="77777777" w:rsidR="00DD038F" w:rsidRPr="00DD038F" w:rsidRDefault="00DD038F" w:rsidP="00DD038F">
            <w:pPr>
              <w:rPr>
                <w:lang w:val="en-US"/>
              </w:rPr>
            </w:pPr>
            <w:r w:rsidRPr="00DD038F">
              <w:rPr>
                <w:lang w:val="en-US"/>
              </w:rPr>
              <w:t>grp [HL-]</w:t>
            </w:r>
          </w:p>
        </w:tc>
        <w:tc>
          <w:tcPr>
            <w:tcW w:w="2273" w:type="dxa"/>
            <w:shd w:val="clear" w:color="auto" w:fill="FFFFFF"/>
            <w:tcMar>
              <w:top w:w="113" w:type="dxa"/>
              <w:left w:w="113" w:type="dxa"/>
              <w:bottom w:w="113" w:type="dxa"/>
              <w:right w:w="113" w:type="dxa"/>
            </w:tcMar>
            <w:hideMark/>
          </w:tcPr>
          <w:p w14:paraId="4E2B48A4" w14:textId="77777777" w:rsidR="00DD038F" w:rsidRPr="00DD038F" w:rsidRDefault="00DD038F" w:rsidP="00DD038F">
            <w:pPr>
              <w:rPr>
                <w:lang w:val="en-US"/>
              </w:rPr>
            </w:pPr>
            <w:r w:rsidRPr="00DD038F">
              <w:rPr>
                <w:lang w:val="en-US"/>
              </w:rPr>
              <w:t>-838.96</w:t>
            </w:r>
          </w:p>
        </w:tc>
        <w:tc>
          <w:tcPr>
            <w:tcW w:w="3364" w:type="dxa"/>
            <w:shd w:val="clear" w:color="auto" w:fill="FFFFFF"/>
            <w:tcMar>
              <w:top w:w="113" w:type="dxa"/>
              <w:left w:w="113" w:type="dxa"/>
              <w:bottom w:w="113" w:type="dxa"/>
              <w:right w:w="113" w:type="dxa"/>
            </w:tcMar>
            <w:hideMark/>
          </w:tcPr>
          <w:p w14:paraId="6D8E8947" w14:textId="77777777" w:rsidR="00DD038F" w:rsidRPr="00DD038F" w:rsidRDefault="00DD038F" w:rsidP="00DD038F">
            <w:pPr>
              <w:rPr>
                <w:lang w:val="en-US"/>
              </w:rPr>
            </w:pPr>
            <w:r w:rsidRPr="00DD038F">
              <w:rPr>
                <w:lang w:val="en-US"/>
              </w:rPr>
              <w:t>-1478.67 – -199.25</w:t>
            </w:r>
          </w:p>
        </w:tc>
        <w:tc>
          <w:tcPr>
            <w:tcW w:w="915" w:type="dxa"/>
            <w:shd w:val="clear" w:color="auto" w:fill="FFFFFF"/>
            <w:tcMar>
              <w:top w:w="113" w:type="dxa"/>
              <w:left w:w="113" w:type="dxa"/>
              <w:bottom w:w="113" w:type="dxa"/>
              <w:right w:w="113" w:type="dxa"/>
            </w:tcMar>
            <w:hideMark/>
          </w:tcPr>
          <w:p w14:paraId="1035507F" w14:textId="77777777" w:rsidR="00DD038F" w:rsidRPr="00DD038F" w:rsidRDefault="00DD038F" w:rsidP="00DD038F">
            <w:pPr>
              <w:rPr>
                <w:lang w:val="en-US"/>
              </w:rPr>
            </w:pPr>
            <w:r w:rsidRPr="00DD038F">
              <w:rPr>
                <w:b/>
                <w:bCs/>
                <w:lang w:val="en-US"/>
              </w:rPr>
              <w:t>0.011</w:t>
            </w:r>
          </w:p>
        </w:tc>
      </w:tr>
      <w:tr w:rsidR="00166971" w:rsidRPr="00DD038F" w14:paraId="1D997089" w14:textId="77777777" w:rsidTr="00166971">
        <w:trPr>
          <w:trHeight w:val="305"/>
        </w:trPr>
        <w:tc>
          <w:tcPr>
            <w:tcW w:w="2637" w:type="dxa"/>
            <w:shd w:val="clear" w:color="auto" w:fill="FFFFFF"/>
            <w:tcMar>
              <w:top w:w="113" w:type="dxa"/>
              <w:left w:w="113" w:type="dxa"/>
              <w:bottom w:w="113" w:type="dxa"/>
              <w:right w:w="113" w:type="dxa"/>
            </w:tcMar>
            <w:hideMark/>
          </w:tcPr>
          <w:p w14:paraId="7397FDD7" w14:textId="77777777" w:rsidR="00DD038F" w:rsidRPr="00DD038F" w:rsidRDefault="00DD038F" w:rsidP="00DD038F">
            <w:pPr>
              <w:rPr>
                <w:lang w:val="en-US"/>
              </w:rPr>
            </w:pPr>
            <w:r w:rsidRPr="00DD038F">
              <w:rPr>
                <w:lang w:val="en-US"/>
              </w:rPr>
              <w:t>grp [HL+]</w:t>
            </w:r>
          </w:p>
        </w:tc>
        <w:tc>
          <w:tcPr>
            <w:tcW w:w="2273" w:type="dxa"/>
            <w:shd w:val="clear" w:color="auto" w:fill="FFFFFF"/>
            <w:tcMar>
              <w:top w:w="113" w:type="dxa"/>
              <w:left w:w="113" w:type="dxa"/>
              <w:bottom w:w="113" w:type="dxa"/>
              <w:right w:w="113" w:type="dxa"/>
            </w:tcMar>
            <w:hideMark/>
          </w:tcPr>
          <w:p w14:paraId="28F20E47" w14:textId="77777777" w:rsidR="00DD038F" w:rsidRPr="00DD038F" w:rsidRDefault="00DD038F" w:rsidP="00DD038F">
            <w:pPr>
              <w:rPr>
                <w:lang w:val="en-US"/>
              </w:rPr>
            </w:pPr>
            <w:r w:rsidRPr="00DD038F">
              <w:rPr>
                <w:lang w:val="en-US"/>
              </w:rPr>
              <w:t>-1159.94</w:t>
            </w:r>
          </w:p>
        </w:tc>
        <w:tc>
          <w:tcPr>
            <w:tcW w:w="3364" w:type="dxa"/>
            <w:shd w:val="clear" w:color="auto" w:fill="FFFFFF"/>
            <w:tcMar>
              <w:top w:w="113" w:type="dxa"/>
              <w:left w:w="113" w:type="dxa"/>
              <w:bottom w:w="113" w:type="dxa"/>
              <w:right w:w="113" w:type="dxa"/>
            </w:tcMar>
            <w:hideMark/>
          </w:tcPr>
          <w:p w14:paraId="691A864B" w14:textId="77777777" w:rsidR="00DD038F" w:rsidRPr="00DD038F" w:rsidRDefault="00DD038F" w:rsidP="00DD038F">
            <w:pPr>
              <w:rPr>
                <w:lang w:val="en-US"/>
              </w:rPr>
            </w:pPr>
            <w:r w:rsidRPr="00DD038F">
              <w:rPr>
                <w:lang w:val="en-US"/>
              </w:rPr>
              <w:t>-2074.97 – -244.92</w:t>
            </w:r>
          </w:p>
        </w:tc>
        <w:tc>
          <w:tcPr>
            <w:tcW w:w="915" w:type="dxa"/>
            <w:shd w:val="clear" w:color="auto" w:fill="FFFFFF"/>
            <w:tcMar>
              <w:top w:w="113" w:type="dxa"/>
              <w:left w:w="113" w:type="dxa"/>
              <w:bottom w:w="113" w:type="dxa"/>
              <w:right w:w="113" w:type="dxa"/>
            </w:tcMar>
            <w:hideMark/>
          </w:tcPr>
          <w:p w14:paraId="399ED68B" w14:textId="77777777" w:rsidR="00DD038F" w:rsidRPr="00DD038F" w:rsidRDefault="00DD038F" w:rsidP="00DD038F">
            <w:pPr>
              <w:rPr>
                <w:lang w:val="en-US"/>
              </w:rPr>
            </w:pPr>
            <w:r w:rsidRPr="00DD038F">
              <w:rPr>
                <w:b/>
                <w:bCs/>
                <w:lang w:val="en-US"/>
              </w:rPr>
              <w:t>0.014</w:t>
            </w:r>
          </w:p>
        </w:tc>
      </w:tr>
      <w:tr w:rsidR="00166971" w:rsidRPr="00DD038F" w14:paraId="3EC70B62" w14:textId="77777777" w:rsidTr="00166971">
        <w:trPr>
          <w:trHeight w:val="305"/>
        </w:trPr>
        <w:tc>
          <w:tcPr>
            <w:tcW w:w="2637" w:type="dxa"/>
            <w:shd w:val="clear" w:color="auto" w:fill="FFFFFF"/>
            <w:tcMar>
              <w:top w:w="113" w:type="dxa"/>
              <w:left w:w="113" w:type="dxa"/>
              <w:bottom w:w="113" w:type="dxa"/>
              <w:right w:w="113" w:type="dxa"/>
            </w:tcMar>
            <w:hideMark/>
          </w:tcPr>
          <w:p w14:paraId="227EE9AD" w14:textId="6177D74F" w:rsidR="00DD038F" w:rsidRPr="00DD038F" w:rsidRDefault="00082B50" w:rsidP="00DD038F">
            <w:pPr>
              <w:rPr>
                <w:lang w:val="en-US"/>
              </w:rPr>
            </w:pPr>
            <w:r>
              <w:rPr>
                <w:lang w:val="en-US"/>
              </w:rPr>
              <w:t>S</w:t>
            </w:r>
            <w:r w:rsidR="005B43B8">
              <w:rPr>
                <w:lang w:val="en-US"/>
              </w:rPr>
              <w:t>DV</w:t>
            </w:r>
            <w:r w:rsidR="00DD038F" w:rsidRPr="00DD038F">
              <w:rPr>
                <w:lang w:val="en-US"/>
              </w:rPr>
              <w:t xml:space="preserve"> × grp [HL-]</w:t>
            </w:r>
          </w:p>
        </w:tc>
        <w:tc>
          <w:tcPr>
            <w:tcW w:w="2273" w:type="dxa"/>
            <w:shd w:val="clear" w:color="auto" w:fill="FFFFFF"/>
            <w:tcMar>
              <w:top w:w="113" w:type="dxa"/>
              <w:left w:w="113" w:type="dxa"/>
              <w:bottom w:w="113" w:type="dxa"/>
              <w:right w:w="113" w:type="dxa"/>
            </w:tcMar>
            <w:hideMark/>
          </w:tcPr>
          <w:p w14:paraId="79D74445" w14:textId="77777777" w:rsidR="00DD038F" w:rsidRPr="00DD038F" w:rsidRDefault="00DD038F" w:rsidP="00DD038F">
            <w:pPr>
              <w:rPr>
                <w:lang w:val="en-US"/>
              </w:rPr>
            </w:pPr>
            <w:r w:rsidRPr="00DD038F">
              <w:rPr>
                <w:lang w:val="en-US"/>
              </w:rPr>
              <w:t>13.28</w:t>
            </w:r>
          </w:p>
        </w:tc>
        <w:tc>
          <w:tcPr>
            <w:tcW w:w="3364" w:type="dxa"/>
            <w:shd w:val="clear" w:color="auto" w:fill="FFFFFF"/>
            <w:tcMar>
              <w:top w:w="113" w:type="dxa"/>
              <w:left w:w="113" w:type="dxa"/>
              <w:bottom w:w="113" w:type="dxa"/>
              <w:right w:w="113" w:type="dxa"/>
            </w:tcMar>
            <w:hideMark/>
          </w:tcPr>
          <w:p w14:paraId="526314A2" w14:textId="77777777" w:rsidR="00DD038F" w:rsidRPr="00DD038F" w:rsidRDefault="00DD038F" w:rsidP="00DD038F">
            <w:pPr>
              <w:rPr>
                <w:lang w:val="en-US"/>
              </w:rPr>
            </w:pPr>
            <w:r w:rsidRPr="00DD038F">
              <w:rPr>
                <w:lang w:val="en-US"/>
              </w:rPr>
              <w:t>1.08 – 25.47</w:t>
            </w:r>
          </w:p>
        </w:tc>
        <w:tc>
          <w:tcPr>
            <w:tcW w:w="915" w:type="dxa"/>
            <w:shd w:val="clear" w:color="auto" w:fill="FFFFFF"/>
            <w:tcMar>
              <w:top w:w="113" w:type="dxa"/>
              <w:left w:w="113" w:type="dxa"/>
              <w:bottom w:w="113" w:type="dxa"/>
              <w:right w:w="113" w:type="dxa"/>
            </w:tcMar>
            <w:hideMark/>
          </w:tcPr>
          <w:p w14:paraId="3E1B7793" w14:textId="77777777" w:rsidR="00DD038F" w:rsidRPr="00DD038F" w:rsidRDefault="00DD038F" w:rsidP="00DD038F">
            <w:pPr>
              <w:rPr>
                <w:lang w:val="en-US"/>
              </w:rPr>
            </w:pPr>
            <w:r w:rsidRPr="00DD038F">
              <w:rPr>
                <w:b/>
                <w:bCs/>
                <w:lang w:val="en-US"/>
              </w:rPr>
              <w:t>0.033</w:t>
            </w:r>
          </w:p>
        </w:tc>
      </w:tr>
      <w:tr w:rsidR="00166971" w:rsidRPr="00DD038F" w14:paraId="02B4B454" w14:textId="77777777" w:rsidTr="00166971">
        <w:trPr>
          <w:trHeight w:val="289"/>
        </w:trPr>
        <w:tc>
          <w:tcPr>
            <w:tcW w:w="2637" w:type="dxa"/>
            <w:shd w:val="clear" w:color="auto" w:fill="FFFFFF"/>
            <w:tcMar>
              <w:top w:w="113" w:type="dxa"/>
              <w:left w:w="113" w:type="dxa"/>
              <w:bottom w:w="113" w:type="dxa"/>
              <w:right w:w="113" w:type="dxa"/>
            </w:tcMar>
            <w:hideMark/>
          </w:tcPr>
          <w:p w14:paraId="750C854A" w14:textId="4D8BE59D" w:rsidR="00DD038F" w:rsidRPr="00DD038F" w:rsidRDefault="00082B50" w:rsidP="00DD038F">
            <w:pPr>
              <w:rPr>
                <w:lang w:val="en-US"/>
              </w:rPr>
            </w:pPr>
            <w:r>
              <w:rPr>
                <w:lang w:val="en-US"/>
              </w:rPr>
              <w:t>S</w:t>
            </w:r>
            <w:r w:rsidR="005B43B8">
              <w:rPr>
                <w:lang w:val="en-US"/>
              </w:rPr>
              <w:t>DV</w:t>
            </w:r>
            <w:r w:rsidR="00DD038F" w:rsidRPr="00DD038F">
              <w:rPr>
                <w:lang w:val="en-US"/>
              </w:rPr>
              <w:t xml:space="preserve"> × grp [HL+]</w:t>
            </w:r>
          </w:p>
        </w:tc>
        <w:tc>
          <w:tcPr>
            <w:tcW w:w="2273" w:type="dxa"/>
            <w:shd w:val="clear" w:color="auto" w:fill="FFFFFF"/>
            <w:tcMar>
              <w:top w:w="113" w:type="dxa"/>
              <w:left w:w="113" w:type="dxa"/>
              <w:bottom w:w="113" w:type="dxa"/>
              <w:right w:w="113" w:type="dxa"/>
            </w:tcMar>
            <w:hideMark/>
          </w:tcPr>
          <w:p w14:paraId="7C626E27" w14:textId="77777777" w:rsidR="00DD038F" w:rsidRPr="00DD038F" w:rsidRDefault="00DD038F" w:rsidP="00DD038F">
            <w:pPr>
              <w:rPr>
                <w:lang w:val="en-US"/>
              </w:rPr>
            </w:pPr>
            <w:r w:rsidRPr="00DD038F">
              <w:rPr>
                <w:lang w:val="en-US"/>
              </w:rPr>
              <w:t>20.09</w:t>
            </w:r>
          </w:p>
        </w:tc>
        <w:tc>
          <w:tcPr>
            <w:tcW w:w="3364" w:type="dxa"/>
            <w:shd w:val="clear" w:color="auto" w:fill="FFFFFF"/>
            <w:tcMar>
              <w:top w:w="113" w:type="dxa"/>
              <w:left w:w="113" w:type="dxa"/>
              <w:bottom w:w="113" w:type="dxa"/>
              <w:right w:w="113" w:type="dxa"/>
            </w:tcMar>
            <w:hideMark/>
          </w:tcPr>
          <w:p w14:paraId="6728BB30" w14:textId="77777777" w:rsidR="00DD038F" w:rsidRPr="00DD038F" w:rsidRDefault="00DD038F" w:rsidP="00DD038F">
            <w:pPr>
              <w:rPr>
                <w:lang w:val="en-US"/>
              </w:rPr>
            </w:pPr>
            <w:r w:rsidRPr="00DD038F">
              <w:rPr>
                <w:lang w:val="en-US"/>
              </w:rPr>
              <w:t>3.64 – 36.54</w:t>
            </w:r>
          </w:p>
        </w:tc>
        <w:tc>
          <w:tcPr>
            <w:tcW w:w="915" w:type="dxa"/>
            <w:shd w:val="clear" w:color="auto" w:fill="FFFFFF"/>
            <w:tcMar>
              <w:top w:w="113" w:type="dxa"/>
              <w:left w:w="113" w:type="dxa"/>
              <w:bottom w:w="113" w:type="dxa"/>
              <w:right w:w="113" w:type="dxa"/>
            </w:tcMar>
            <w:hideMark/>
          </w:tcPr>
          <w:p w14:paraId="20A2055E" w14:textId="77777777" w:rsidR="00DD038F" w:rsidRPr="00DD038F" w:rsidRDefault="00DD038F" w:rsidP="00DD038F">
            <w:pPr>
              <w:rPr>
                <w:lang w:val="en-US"/>
              </w:rPr>
            </w:pPr>
            <w:r w:rsidRPr="00DD038F">
              <w:rPr>
                <w:b/>
                <w:bCs/>
                <w:lang w:val="en-US"/>
              </w:rPr>
              <w:t>0.017</w:t>
            </w:r>
          </w:p>
        </w:tc>
      </w:tr>
      <w:tr w:rsidR="00DD038F" w:rsidRPr="00DD038F" w14:paraId="59A0CD47" w14:textId="77777777" w:rsidTr="00166971">
        <w:trPr>
          <w:trHeight w:val="289"/>
        </w:trPr>
        <w:tc>
          <w:tcPr>
            <w:tcW w:w="2637" w:type="dxa"/>
            <w:tcBorders>
              <w:top w:val="single" w:sz="8" w:space="0" w:color="auto"/>
              <w:left w:val="nil"/>
              <w:bottom w:val="nil"/>
              <w:right w:val="nil"/>
            </w:tcBorders>
            <w:shd w:val="clear" w:color="auto" w:fill="FFFFFF"/>
            <w:tcMar>
              <w:top w:w="57" w:type="dxa"/>
              <w:left w:w="113" w:type="dxa"/>
              <w:bottom w:w="57" w:type="dxa"/>
              <w:right w:w="113" w:type="dxa"/>
            </w:tcMar>
            <w:hideMark/>
          </w:tcPr>
          <w:p w14:paraId="6976B170" w14:textId="77777777" w:rsidR="00DD038F" w:rsidRPr="00DD038F" w:rsidRDefault="00DD038F" w:rsidP="00C716C7">
            <w:pPr>
              <w:rPr>
                <w:lang w:val="en-US"/>
              </w:rPr>
            </w:pPr>
            <w:r w:rsidRPr="00DD038F">
              <w:rPr>
                <w:lang w:val="en-US"/>
              </w:rPr>
              <w:t>Observations</w:t>
            </w:r>
          </w:p>
        </w:tc>
        <w:tc>
          <w:tcPr>
            <w:tcW w:w="6553" w:type="dxa"/>
            <w:gridSpan w:val="3"/>
            <w:tcBorders>
              <w:top w:val="single" w:sz="8" w:space="0" w:color="auto"/>
              <w:left w:val="nil"/>
              <w:bottom w:val="nil"/>
              <w:right w:val="nil"/>
            </w:tcBorders>
            <w:shd w:val="clear" w:color="auto" w:fill="FFFFFF"/>
            <w:tcMar>
              <w:top w:w="57" w:type="dxa"/>
              <w:left w:w="113" w:type="dxa"/>
              <w:bottom w:w="57" w:type="dxa"/>
              <w:right w:w="113" w:type="dxa"/>
            </w:tcMar>
            <w:hideMark/>
          </w:tcPr>
          <w:p w14:paraId="0981F501" w14:textId="77777777" w:rsidR="00DD038F" w:rsidRPr="00DD038F" w:rsidRDefault="00DD038F" w:rsidP="00C716C7">
            <w:pPr>
              <w:rPr>
                <w:lang w:val="en-US"/>
              </w:rPr>
            </w:pPr>
            <w:r w:rsidRPr="00DD038F">
              <w:rPr>
                <w:lang w:val="en-US"/>
              </w:rPr>
              <w:t>82</w:t>
            </w:r>
          </w:p>
        </w:tc>
      </w:tr>
      <w:tr w:rsidR="00DD038F" w:rsidRPr="00DD038F" w14:paraId="5F89C519" w14:textId="77777777" w:rsidTr="00166971">
        <w:trPr>
          <w:trHeight w:val="289"/>
        </w:trPr>
        <w:tc>
          <w:tcPr>
            <w:tcW w:w="2637" w:type="dxa"/>
            <w:shd w:val="clear" w:color="auto" w:fill="FFFFFF"/>
            <w:tcMar>
              <w:top w:w="57" w:type="dxa"/>
              <w:left w:w="113" w:type="dxa"/>
              <w:bottom w:w="57" w:type="dxa"/>
              <w:right w:w="113" w:type="dxa"/>
            </w:tcMar>
            <w:hideMark/>
          </w:tcPr>
          <w:p w14:paraId="08EFF330" w14:textId="77777777" w:rsidR="00DD038F" w:rsidRPr="00DD038F" w:rsidRDefault="00DD038F" w:rsidP="00C716C7">
            <w:pPr>
              <w:rPr>
                <w:lang w:val="en-US"/>
              </w:rPr>
            </w:pPr>
            <w:r w:rsidRPr="00DD038F">
              <w:rPr>
                <w:lang w:val="en-US"/>
              </w:rPr>
              <w:t>R2 / R2 adjusted</w:t>
            </w:r>
          </w:p>
        </w:tc>
        <w:tc>
          <w:tcPr>
            <w:tcW w:w="6553" w:type="dxa"/>
            <w:gridSpan w:val="3"/>
            <w:shd w:val="clear" w:color="auto" w:fill="FFFFFF"/>
            <w:tcMar>
              <w:top w:w="57" w:type="dxa"/>
              <w:left w:w="113" w:type="dxa"/>
              <w:bottom w:w="57" w:type="dxa"/>
              <w:right w:w="113" w:type="dxa"/>
            </w:tcMar>
            <w:hideMark/>
          </w:tcPr>
          <w:p w14:paraId="78513C78" w14:textId="6C03C8E2" w:rsidR="00166971" w:rsidRPr="00DD038F" w:rsidRDefault="00DD038F" w:rsidP="00C716C7">
            <w:pPr>
              <w:rPr>
                <w:lang w:val="en-US"/>
              </w:rPr>
            </w:pPr>
            <w:r w:rsidRPr="00DD038F">
              <w:rPr>
                <w:lang w:val="en-US"/>
              </w:rPr>
              <w:t>0.381 / 0.3</w:t>
            </w:r>
            <w:r w:rsidR="00166971">
              <w:rPr>
                <w:lang w:val="en-US"/>
              </w:rPr>
              <w:t>31</w:t>
            </w:r>
          </w:p>
        </w:tc>
      </w:tr>
    </w:tbl>
    <w:p w14:paraId="7B069726" w14:textId="1F11F356" w:rsidR="00DD038F" w:rsidRDefault="00166971" w:rsidP="00C716C7">
      <w:pPr>
        <w:spacing w:line="360" w:lineRule="auto"/>
      </w:pPr>
      <w:r w:rsidRPr="00166971">
        <w:rPr>
          <w:i/>
          <w:iCs/>
        </w:rPr>
        <w:t>Note.</w:t>
      </w:r>
      <w:r>
        <w:t xml:space="preserve"> The LL- control group is labeled as the intercept. </w:t>
      </w:r>
    </w:p>
    <w:sectPr w:rsidR="00DD038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1E5987"/>
    <w:multiLevelType w:val="multilevel"/>
    <w:tmpl w:val="A56CB38C"/>
    <w:lvl w:ilvl="0">
      <w:start w:val="1"/>
      <w:numFmt w:val="bullet"/>
      <w:lvlText w:val="●"/>
      <w:lvlJc w:val="left"/>
      <w:pPr>
        <w:ind w:left="720" w:hanging="360"/>
      </w:pPr>
      <w:rPr>
        <w:rFonts w:ascii="Arial" w:eastAsia="Arial" w:hAnsi="Arial" w:cs="Arial"/>
        <w:color w:val="5E5C5C"/>
        <w:sz w:val="20"/>
        <w:szCs w:val="20"/>
        <w:u w:val="none"/>
      </w:rPr>
    </w:lvl>
    <w:lvl w:ilvl="1">
      <w:start w:val="1"/>
      <w:numFmt w:val="bullet"/>
      <w:lvlText w:val="●"/>
      <w:lvlJc w:val="left"/>
      <w:pPr>
        <w:ind w:left="1440" w:hanging="360"/>
      </w:pPr>
      <w:rPr>
        <w:rFonts w:ascii="Arial" w:eastAsia="Arial" w:hAnsi="Arial" w:cs="Arial"/>
        <w:color w:val="5E5C5C"/>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FF7"/>
    <w:rsid w:val="00082B50"/>
    <w:rsid w:val="00166971"/>
    <w:rsid w:val="00184FF7"/>
    <w:rsid w:val="003018FA"/>
    <w:rsid w:val="00346536"/>
    <w:rsid w:val="004F5164"/>
    <w:rsid w:val="00522D32"/>
    <w:rsid w:val="00536699"/>
    <w:rsid w:val="005B43B8"/>
    <w:rsid w:val="0072F87C"/>
    <w:rsid w:val="007324F0"/>
    <w:rsid w:val="00833C86"/>
    <w:rsid w:val="008A64D8"/>
    <w:rsid w:val="008E2870"/>
    <w:rsid w:val="00AD1515"/>
    <w:rsid w:val="00B866A7"/>
    <w:rsid w:val="00C13F0B"/>
    <w:rsid w:val="00C716C7"/>
    <w:rsid w:val="00CE1B9C"/>
    <w:rsid w:val="00DD038F"/>
    <w:rsid w:val="00FC2E32"/>
    <w:rsid w:val="02EEC86C"/>
    <w:rsid w:val="04ED7D13"/>
    <w:rsid w:val="068C75A9"/>
    <w:rsid w:val="06D0B085"/>
    <w:rsid w:val="0A77B7D9"/>
    <w:rsid w:val="108E7E93"/>
    <w:rsid w:val="1129CC33"/>
    <w:rsid w:val="157BC2A2"/>
    <w:rsid w:val="15BC4F1F"/>
    <w:rsid w:val="16CD3931"/>
    <w:rsid w:val="17C3F1D9"/>
    <w:rsid w:val="1F684C37"/>
    <w:rsid w:val="278F19C6"/>
    <w:rsid w:val="27B0E820"/>
    <w:rsid w:val="2C3D2F7C"/>
    <w:rsid w:val="2F23F827"/>
    <w:rsid w:val="2F54B4B5"/>
    <w:rsid w:val="3222D7C5"/>
    <w:rsid w:val="343737FA"/>
    <w:rsid w:val="350DC866"/>
    <w:rsid w:val="3780BC41"/>
    <w:rsid w:val="3E48A0DC"/>
    <w:rsid w:val="41E46010"/>
    <w:rsid w:val="4740D84E"/>
    <w:rsid w:val="485CE085"/>
    <w:rsid w:val="494B5339"/>
    <w:rsid w:val="49F51F6D"/>
    <w:rsid w:val="49F7C57D"/>
    <w:rsid w:val="4A2FDF07"/>
    <w:rsid w:val="4D3A2B00"/>
    <w:rsid w:val="4F744B6D"/>
    <w:rsid w:val="508E8ECC"/>
    <w:rsid w:val="5719B152"/>
    <w:rsid w:val="580EF1E1"/>
    <w:rsid w:val="60516F27"/>
    <w:rsid w:val="61B6A7E1"/>
    <w:rsid w:val="64018F33"/>
    <w:rsid w:val="68F41B4F"/>
    <w:rsid w:val="6BE20FF2"/>
    <w:rsid w:val="6CF75C96"/>
    <w:rsid w:val="74A367A5"/>
    <w:rsid w:val="7FED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46F9"/>
  <w15:docId w15:val="{48181835-0577-D24B-8E88-632E7C25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DD03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D038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79759">
      <w:bodyDiv w:val="1"/>
      <w:marLeft w:val="0"/>
      <w:marRight w:val="0"/>
      <w:marTop w:val="0"/>
      <w:marBottom w:val="0"/>
      <w:divBdr>
        <w:top w:val="none" w:sz="0" w:space="0" w:color="auto"/>
        <w:left w:val="none" w:sz="0" w:space="0" w:color="auto"/>
        <w:bottom w:val="none" w:sz="0" w:space="0" w:color="auto"/>
        <w:right w:val="none" w:sz="0" w:space="0" w:color="auto"/>
      </w:divBdr>
      <w:divsChild>
        <w:div w:id="1324163575">
          <w:marLeft w:val="0"/>
          <w:marRight w:val="0"/>
          <w:marTop w:val="0"/>
          <w:marBottom w:val="0"/>
          <w:divBdr>
            <w:top w:val="none" w:sz="0" w:space="0" w:color="auto"/>
            <w:left w:val="none" w:sz="0" w:space="0" w:color="auto"/>
            <w:bottom w:val="none" w:sz="0" w:space="0" w:color="auto"/>
            <w:right w:val="none" w:sz="0" w:space="0" w:color="auto"/>
          </w:divBdr>
        </w:div>
      </w:divsChild>
    </w:div>
    <w:div w:id="608969334">
      <w:bodyDiv w:val="1"/>
      <w:marLeft w:val="0"/>
      <w:marRight w:val="0"/>
      <w:marTop w:val="0"/>
      <w:marBottom w:val="0"/>
      <w:divBdr>
        <w:top w:val="none" w:sz="0" w:space="0" w:color="auto"/>
        <w:left w:val="none" w:sz="0" w:space="0" w:color="auto"/>
        <w:bottom w:val="none" w:sz="0" w:space="0" w:color="auto"/>
        <w:right w:val="none" w:sz="0" w:space="0" w:color="auto"/>
      </w:divBdr>
      <w:divsChild>
        <w:div w:id="1722241451">
          <w:marLeft w:val="0"/>
          <w:marRight w:val="0"/>
          <w:marTop w:val="0"/>
          <w:marBottom w:val="0"/>
          <w:divBdr>
            <w:top w:val="none" w:sz="0" w:space="0" w:color="auto"/>
            <w:left w:val="none" w:sz="0" w:space="0" w:color="auto"/>
            <w:bottom w:val="none" w:sz="0" w:space="0" w:color="auto"/>
            <w:right w:val="none" w:sz="0" w:space="0" w:color="auto"/>
          </w:divBdr>
        </w:div>
      </w:divsChild>
    </w:div>
    <w:div w:id="1587692608">
      <w:bodyDiv w:val="1"/>
      <w:marLeft w:val="0"/>
      <w:marRight w:val="0"/>
      <w:marTop w:val="0"/>
      <w:marBottom w:val="0"/>
      <w:divBdr>
        <w:top w:val="none" w:sz="0" w:space="0" w:color="auto"/>
        <w:left w:val="none" w:sz="0" w:space="0" w:color="auto"/>
        <w:bottom w:val="none" w:sz="0" w:space="0" w:color="auto"/>
        <w:right w:val="none" w:sz="0" w:space="0" w:color="auto"/>
      </w:divBdr>
      <w:divsChild>
        <w:div w:id="1420760605">
          <w:marLeft w:val="0"/>
          <w:marRight w:val="0"/>
          <w:marTop w:val="0"/>
          <w:marBottom w:val="0"/>
          <w:divBdr>
            <w:top w:val="none" w:sz="0" w:space="0" w:color="auto"/>
            <w:left w:val="none" w:sz="0" w:space="0" w:color="auto"/>
            <w:bottom w:val="none" w:sz="0" w:space="0" w:color="auto"/>
            <w:right w:val="none" w:sz="0" w:space="0" w:color="auto"/>
          </w:divBdr>
        </w:div>
      </w:divsChild>
    </w:div>
    <w:div w:id="1672678474">
      <w:bodyDiv w:val="1"/>
      <w:marLeft w:val="0"/>
      <w:marRight w:val="0"/>
      <w:marTop w:val="0"/>
      <w:marBottom w:val="0"/>
      <w:divBdr>
        <w:top w:val="none" w:sz="0" w:space="0" w:color="auto"/>
        <w:left w:val="none" w:sz="0" w:space="0" w:color="auto"/>
        <w:bottom w:val="none" w:sz="0" w:space="0" w:color="auto"/>
        <w:right w:val="none" w:sz="0" w:space="0" w:color="auto"/>
      </w:divBdr>
      <w:divsChild>
        <w:div w:id="7460759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562</Words>
  <Characters>3368</Characters>
  <Application>Microsoft Office Word</Application>
  <DocSecurity>0</DocSecurity>
  <Lines>99</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estesa</dc:creator>
  <cp:lastModifiedBy>Annette Estes</cp:lastModifiedBy>
  <cp:revision>4</cp:revision>
  <dcterms:created xsi:type="dcterms:W3CDTF">2024-10-18T19:59:00Z</dcterms:created>
  <dcterms:modified xsi:type="dcterms:W3CDTF">2024-10-18T22:07:00Z</dcterms:modified>
</cp:coreProperties>
</file>